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bookmarkStart w:id="0" w:name="_GoBack"/>
            <w:r>
              <w:rPr>
                <w:rFonts w:ascii="宋体" w:hAnsi="宋体" w:eastAsia="宋体" w:cs="宋体"/>
                <w:b/>
                <w:sz w:val="52"/>
              </w:rPr>
              <w:t>2022年度扬州文化艺术学校单位决算公开</w:t>
            </w:r>
            <w:bookmarkEnd w:id="0"/>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服务地方经济社会发展，服务地方“非遗”传承人培养，为地方培养高素质的中等文化艺术人才；二是承接地方各项重大接待交流演出，传承展示辐射扬州文化；三是发挥艺术教育资源优势，承担社会艺术培训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本单位内设机构包括办公室、督导室、教务处、学生处、后勤处、计财处、招生就业办公室、教研室、创培部、戏曲科、舞蹈科、音乐科、美术科、基础教学科。本单位无下属单位。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2022年是党和国家大事、喜事、要事齐聚的一年，是党的二十大胜利召开之年，是迈向第二个百年奋斗目标的开局之年，也是学校落实“十四五”发展规划的重要一年。本年度，学校在上级主管部门的正确领导下，在全体教职员工的共同努力下，以习近平新时代中国特色社会主义思想和党的二十大精神为指引，以推进学校高质量发展为目标，积极化解疫情阻力，坚定承压而上之心，树立争先进位之志，开拓进取，扎实工作，圆满完成年初确定的目标任务，学校事业稳步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以党建工作为引领，构筑事业发展新基础。⑴以学习教育为抓手，坚定不移为学校事业发展把好方向。⑵以组织建设为保障，夯实基层组织工作基础。⑶以作风建设为抓手，毫不松懈纠治“四风”营造良好氛围。</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以教学工作为主线，促进学校工作跃上新台阶。⑴求真务实，抓好常规执行。⑵提高站位，抓好教材管理。⑶积极备战，抓好大赛工作。一是在2022年江苏省职业学校文化艺术表演了与艺术设计类项目技能大赛中，学校不辱使命，取得辉煌战果：我校师生取得了3金1银8铜的佳绩，超额完成了市教育局下达的金牌指标。二是顺利完成第十九届扬州市职业学校文化艺术类项目技能大赛赛点工作，我校师生摘得7金10银6铜的的佳绩。⑷多措并举，抓好师资建设。一是培养骨干教师，引领师资队伍。二是在扬州市中等职业学校教学质量提升“五个一百”工程评选活动中，学校高度重视，积极做好宣传发动、项目遴选、材料准备与报送工作，最终获得优秀“校企合作示范组合”2个、“示范特色”专业2个、优秀活力课堂示范课4节、金牌教练和金牌选手10名。2022年，学校共有1个国家级课题、2个市级课题通过结项；3个国家级课题、2个省级课题获得立项，制定、出台了《扬州文化艺术学校校级课题管理办法》，20多篇论文在国省以上杂志发表，进一步浓郁了教科研氛围。五是学校充分发挥专业师资优势，对西班牙马德里爱华中文学校近200名师生开展了暑期云端艺术课程，促进了中西文化的交流和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以立德树人为重点，开创德育工作新局面。⑴抓三全育人，开创立德树人新境界。⑵抓养成教育，形成文明有序新面貌。⑶抓能力建设，形成班主任工作新质态。一是进一步完善两周一次班主任例会制度，对各阶段学生管理工作中取得的成绩和存在的问题进行探讨与总结，提升了班主任的工作能力和管理水平。二是组织班主任参加技能大赛线上培训，鼓励班主任参加各级各类技能比赛，以此来提升班主任工作能力。在2022年的市级班主任技能大赛中，我校王川老师取得了二等奖的好成绩。</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4、以招生培训为突破，保证质量规模取得新成果。⑴招生工作富有成效。⑵就业升学齐头并进。⑶创培有力助推文化惠民。</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5、以优质服务为追求，打造管理服务新水平。⑴转变作风，搞好后勤保障。⑵厉行节约，加强财物管理。⑶提质增效，加强行政管理。</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扬州文化艺术学校</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扬州文化艺术学校</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3,091.66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1,184.00</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3,096.10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80.00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46.17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1,184.00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416.47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4,321.83</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4,776.57</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742.38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287.64</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5,064.21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5,064.21</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4,321.83</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4,275.66</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46.17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2,641.36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2,595.18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46.17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2,636.36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2,590.18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46.17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中等职业教育</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2,636.36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2,590.18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46.17</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进修及培训</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2050803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培训支出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其他文化和旅游支出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80.00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国有土地使用权出让收入安排的支出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其他国有土地使用权出让收入安排的支出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1,184.00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416.47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121.00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121.00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107.51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107.51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187.96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187.96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4,776.57</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2,198.35</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2,578.22</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3,096.10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1,781.87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3,091.10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1,776.87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中等职业教育</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3,091.10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1,776.87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1,314.22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进修及培训</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2050803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培训支出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其他文化和旅游支出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国有土地使用权出让收入安排的支出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其他国有土地使用权出让收入安排的支出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1,184.00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416.47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416.47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416.47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416.47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121.00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121.00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107.51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107.51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187.96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187.96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扬州文化艺术学校</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3,091.66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3,052.92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3,052.92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4,275.66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4,733.39</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3,549.39</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617.44</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159.71</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24.90</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134.80</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482.64</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134.80</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4,893.10</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4,893.10</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3,574.30</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1,318.80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4,733.39</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2,198.35</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2,535.04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3,052.92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3,047.92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3,047.92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1,776.87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1,271.04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进修及培训</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2050803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培训支出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其他文化和旅游支出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1,184.00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416.47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121.00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107.51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107.51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187.96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扬州文化艺术学校</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2,198.35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1,453.19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227.69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3,549.39</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2,198.35</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1,351.04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3,052.92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1,271.04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3,047.92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1,271.04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3,047.92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1,776.87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1,271.04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进修及培训</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2050803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其他文化和旅游支出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416.47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416.47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416.47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416.47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107.51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187.96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2,198.35</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1,453.19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1,367.68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227.69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294.44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745.16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85.51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69.19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3.92</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3.15</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3.15</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0.77</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3.92</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3.15</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3.15</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24</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151</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1,184.00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1,184.00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2120899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1,184.00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注：本表反映本年度政府性基金预算财政拨款支出情况。本表金额单位转换时可能存在尾数误差。</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扬州文化艺术学校</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191.85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2022年度收入、支出决算总计5,064.21万元。与上年相比，收、支总计各增加110.67万元，增长2.23%。其中：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（一）收入决算总计5,064.21万元。包括：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1.本年收入决算合计4,321.83万元。与上年相比，增加401.48万元，增长10.24%，变动原因：人员经费及项目收入增加。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3.年初结转和结余742.38万元。与上年相比，减少290.81万元，减少28.15%，变动原因：归集上缴和缴回财政资金及使用项目支出结转和结余。</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（二）支出决算总计5,064.21万元。包括：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1.本年支出决算合计4,776.57万元。与上年相比，增加682.77万元，增长16.68%，变动原因：扬州戏曲园（艺校改扩建）基建装修项目支出增加。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3.年末结转和结余287.64万元。结转和结余事项：主要是预付供电公司电费；扬州戏曲园（艺校改扩建）工程项目尾款。与上年相比，减少572.11万元，减少66.54%，变动原因：付扬子江现代物业往年支出。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4,321.83万元，其中：财政拨款收入4,275.66万元，占98.93%；上级补助收入0万元，占0%；财政专户管理教育收费0万元，占0%；事业收入（不含专户管理教育收费）0万元，占0%；经营收入0万元，占0%；附属单位上缴收入0万元，占0%；其他收入46.17万元，占1.07%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2022年度本年支出决算合计4,776.57万元，其中：基本支出2,198.35万元，占46.02%；项目支出2,578.22万元，占53.98%；上缴上级支出0万元，占0%；经营支出0万元，占0%；对附属单位补助支出0万元，占0%。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2022年度财政拨款收入、支出决算总计4,893.1万元。与上年相比，收、支总计各增加279.52万元，增长6.06%，变动原因：人员经费及项目收入增加。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2022年度财政拨款支出决算4,733.39万元，占本年支出合计的99.1%。与2022年度财政拨款支出年初预算2,585.25万元相比，完成年初预算的183.09%。其中：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1.职业教育（款）中等职业教育（项）。年初预算2,166.15万元，支出决算3,047.92万元，完成年初预算的140.71%。决算数与年初预算数的差异原因：人员工资调整和项目经费支出增加。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2.进修及培训（款）培训支出（项）。年初预算5.5万元，支出决算5万元，完成年初预算的90.91%。决算数与年初预算数的差异原因：疫情影响单位组织培训减少。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（二）文化旅游体育与传媒支出（类）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文化和旅游（款）其他文化和旅游支出（项）。年初预算0万元，支出决算80万元，（年初预算数为0万元，无法计算完成比率）决算数与年初预算数的差异原因：追加非遗传承扬剧表演人才培养经费。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国有土地使用权出让收入安排的支出（款）其他国有土地使用权出让收入安排的支出（项）。年初预算0万元，支出决算1,184万元，（年初预算数为0万元，无法计算完成比率）决算数与年初预算数的差异原因：追加扬州戏曲园（艺校改扩建）项目工程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1.住房改革支出（款）住房公积金（项）。年初预算120.7万元，支出决算121万元，完成年初预算的100.25%。决算数与年初预算数的差异原因：新增人员9-12月住房公积金支出。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2.住房改革支出（款）提租补贴（项）。年初预算105.6万元，支出决算107.51万元，完成年初预算的101.81%。决算数与年初预算数的差异原因：退休人员补发一次性提租补贴。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3.住房改革支出（款）购房补贴（项）。年初预算187.3万元，支出决算187.96万元，完成年初预算的100.35%。决算数与年初预算数的差异原因：新增人员9-12月购房补贴支出。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2022年度财政拨款基本支出决算2,198.35万元，其中：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（一）人员经费1,453.19万元。</w:t>
      </w:r>
      <w:r>
        <w:rPr>
          <w:rFonts w:ascii="仿宋" w:hAnsi="仿宋" w:eastAsia="仿宋" w:cs="仿宋"/>
        </w:rPr>
        <w:t>主要包括：基本工资、津贴补贴、绩效工资、机关事业单位基本养老保险缴费、职业年金缴费、职工基本医疗保险缴费、其他社会保障缴费、住房公积金、医疗费、其他工资福利支出、退休费、抚恤金、生活补助、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（二）公用经费745.16万元。</w:t>
      </w:r>
      <w:r>
        <w:rPr>
          <w:rFonts w:ascii="仿宋" w:hAnsi="仿宋" w:eastAsia="仿宋" w:cs="仿宋"/>
        </w:rPr>
        <w:t>主要包括：办公费、咨询费、水费、电费、邮电费、物业管理费、差旅费、维修（护）费、培训费、公务接待费、劳务费、委托业务费、工会经费、福利费、其他商品和服务支出。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2022年度一般公共预算财政拨款支出决算3,549.39万元。与上年相比，增加693.08万元，增长24.26%，变动原因：人员工资调整和项目支出增加。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2022年度一般公共预算财政拨款基本支出决算2,198.35万元，其中：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（一）人员经费1,453.19万元。</w:t>
      </w:r>
      <w:r>
        <w:rPr>
          <w:rFonts w:ascii="仿宋" w:hAnsi="仿宋" w:eastAsia="仿宋" w:cs="仿宋"/>
        </w:rPr>
        <w:t>主要包括：基本工资、津贴补贴、绩效工资、机关事业单位基本养老保险缴费、职业年金缴费、职工基本医疗保险缴费、其他社会保障缴费、住房公积金、医疗费、其他工资福利支出、退休费、抚恤金、生活补助、助学金、奖励金、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（二）公用经费745.16万元。</w:t>
      </w:r>
      <w:r>
        <w:rPr>
          <w:rFonts w:ascii="仿宋" w:hAnsi="仿宋" w:eastAsia="仿宋" w:cs="仿宋"/>
        </w:rPr>
        <w:t>主要包括：办公费、咨询费、水费、电费、邮电费、物业管理费、差旅费、维修（护）费、培训费、公务接待费、劳务费、委托业务费、工会经费、福利费、其他商品和服务支出。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3.92万元（其中：一般公共预算支出3.92万元；政府性基金预算支出0万元；国有资本经营预算支出0万元）。与上年相比，减少2.41万元，变动原因：疫情影响单位公务接待减少。其中，因公出国（境）费支出0万元，占“三公”经费的0%；公务用车购置及运行维护费支出3.15万元，占“三公”经费的80.36%；公务接待费支出0.77万元，占“三公”经费的19.64%。</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3.15万元（其中：一般公共预算支出3.15万元；政府性基金预算支出0万元；国有资本经营预算支出0万元），支出决算3.15万元（其中：一般公共预算支出3.15万元；政府性基金预算支出0万元；国有资本经营预算支出0万元），完成调整后预算的100%，决算数与预算数相同。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3.15万元。公务用车运行维护费主要用于按规定保留的公务用车的燃料费、维修费、过桥过路费、保险费、安全奖励费用等支出。截至2022年12月31日，使用财政拨款开支的公务用车保有量为2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0.77万元（其中：一般公共预算支出0.77万元；政府性基金预算支出0万元；国有资本经营预算支出0万元），支出决算0.77万元（其中：一般公共预算支出0.77万元；政府性基金预算支出0万元；国有资本经营预算支出0万元），完成调整后预算的100%，决算数与预算数相同。其中：国内公务接待支出0.77万元，接待24批次，151人次，开支内容：接待各合作剧团来校参观学习、招生考试各专业评委专家；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1.02万元（其中：一般公共预算支出1.02万元；政府性基金预算支出0万元；国有资本经营预算支出0万元），支出决算1.02万元（其中：一般公共预算支出1.02万元；政府性基金预算支出0万元；国有资本经营预算支出0万元），完成调整后预算的100%，决算数与预算数相同。2022年度全年组织培训5个，组织培训28人次，开支内容：学校消防培训，"优芽杯“新时代江苏职教好故事征集活动培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2022年度政府性基金预算财政拨款支出决算1,184万元。与上年相比，增加44.17万元，增长3.88%，变动原因：戏曲园（艺校改扩建）基建工程支出增加。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2022年度机关运行经费支出决算0万元（其中：一般公共预算支出0万元；政府性基金预算支出0万元；国有资本经营预算支出0万元）。与上年决算数相同。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191.85万元，其中：政府采购货物支出2.65万元、政府采购工程支出0万元、政府采购服务支出189.2万元。政府采购授予中小企业合同金额2.65万元，占政府采购支出总额的1.38%，其中：授予小微企业合同金额2.65万元，占授予中小企业合同金额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2022年12月31日，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2022年度，本单位共0个项目开展了财政重点绩效评价，涉及财政性资金合计0万元；本单位未开展单位整体支出财政重点绩效评价，涉及财政性资金0万元。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本单位共对上年度已实施完成的11个项目开展了绩效自评价，涉及财政性资金合计2,331.6万元；本单位共开展1项单位整体支出绩效自评价，涉及财政性资金合计4,733.39万元。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二十、教育支出(类)进修及培训(款)培训支出(项)</w:t>
      </w:r>
      <w:r>
        <w:rPr>
          <w:rFonts w:ascii="仿宋" w:hAnsi="仿宋" w:eastAsia="仿宋" w:cs="仿宋"/>
          <w:b/>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二十一、文化旅游体育与传媒支出(类)文化和旅游(款)其他文化和旅游支出(项)</w:t>
      </w:r>
      <w:r>
        <w:rPr>
          <w:rFonts w:ascii="仿宋" w:hAnsi="仿宋" w:eastAsia="仿宋" w:cs="仿宋"/>
          <w:b/>
        </w:rPr>
        <w:t>：</w:t>
      </w:r>
      <w:r>
        <w:rPr>
          <w:rFonts w:hint="eastAsia" w:ascii="仿宋" w:hAnsi="仿宋" w:eastAsia="仿宋" w:cs="仿宋"/>
        </w:rPr>
        <w:t>反映除上述项目以外其他用于文化和旅游方面的支出。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二十二、城乡社区支出(类)国有土地使用权出让收入安排的支出(款)其他国有土地使用权出让收入安排的支出(项)</w:t>
      </w:r>
      <w:r>
        <w:rPr>
          <w:rFonts w:ascii="仿宋" w:hAnsi="仿宋" w:eastAsia="仿宋" w:cs="仿宋"/>
          <w:b/>
        </w:rPr>
        <w:t>：</w:t>
      </w:r>
      <w:r>
        <w:rPr>
          <w:rFonts w:hint="eastAsia" w:ascii="仿宋" w:hAnsi="仿宋" w:eastAsia="仿宋" w:cs="仿宋"/>
        </w:rPr>
        <w:t>反映土地出让收入用于其他方面的支出。不包括市县级政府当年按规定用土地出让收入向中央和省级政府缴纳的新增建设用地土地有偿使用费的支出。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扬州文化艺术学校</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MzkwYTE1M2QxMjY4NzZmNTRhMTQ2NWRmMmI0ZTc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4C0ACA"/>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A76E85"/>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CC3B4C"/>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12584</Words>
  <Characters>16037</Characters>
  <Paragraphs>501</Paragraphs>
  <TotalTime>13</TotalTime>
  <ScaleCrop>false</ScaleCrop>
  <LinksUpToDate>false</LinksUpToDate>
  <CharactersWithSpaces>16628</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水月</cp:lastModifiedBy>
  <cp:lastPrinted>2023-08-28T02:23:00Z</cp:lastPrinted>
  <dcterms:modified xsi:type="dcterms:W3CDTF">2023-09-20T15:52:27Z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50FB2D666CCD42E590AC617561B30B72_13</vt:lpwstr>
  </property>
  <property fmtid="{D5CDD505-2E9C-101B-9397-08002B2CF9AE}" pid="5" name="KSOProductBuildVer">
    <vt:lpwstr>2052-12.1.0.15120</vt:lpwstr>
  </property>
  <property fmtid="{D5CDD505-2E9C-101B-9397-08002B2CF9AE}" pid="6" name="LastSaved">
    <vt:filetime>2021-04-15T00:00:00Z</vt:filetime>
  </property>
</Properties>
</file>